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Пельмень Третий– робот, выполненный на основе высокотехнологичного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микроконтроллера Arduino.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Он использует мощные высокоэффективные электромоторы для достижения небывалых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скоростей на игровом поле. Что уж говорить... эти крошки дадут жару даже самым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отпетым гонщикам. Ударный механизм снесёт крышу всем, кто осмелится сразиться с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этим десятым чудом света. Управление сим чудным аппаратом осуществляется через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беспроводной канал связи Bluetooth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или посредством радио пульта. Шариковая опора применяется для стабилизации при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движении. В соответствии с регламентом футболист обладает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обтекаемой формой и способен выполнить удар внутри измерительной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конструкции.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